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0"/>
        <w:ind w:left="5735" w:right="0" w:firstLine="0"/>
        <w:jc w:val="left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"2009</w:t>
      </w:r>
      <w:r>
        <w:rPr>
          <w:rFonts w:ascii="Garamond" w:hAnsi="Garamond"/>
          <w:spacing w:val="-4"/>
          <w:sz w:val="16"/>
        </w:rPr>
        <w:t> </w:t>
      </w:r>
      <w:r>
        <w:rPr>
          <w:rFonts w:ascii="Garamond" w:hAnsi="Garamond"/>
          <w:sz w:val="16"/>
        </w:rPr>
        <w:t>Año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de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la</w:t>
      </w:r>
      <w:r>
        <w:rPr>
          <w:rFonts w:ascii="Garamond" w:hAnsi="Garamond"/>
          <w:spacing w:val="-2"/>
          <w:sz w:val="16"/>
        </w:rPr>
        <w:t> </w:t>
      </w:r>
      <w:r>
        <w:rPr>
          <w:rFonts w:ascii="Garamond" w:hAnsi="Garamond"/>
          <w:sz w:val="16"/>
        </w:rPr>
        <w:t>Inclusión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Social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y</w:t>
      </w:r>
      <w:r>
        <w:rPr>
          <w:rFonts w:ascii="Garamond" w:hAnsi="Garamond"/>
          <w:spacing w:val="-4"/>
          <w:sz w:val="16"/>
        </w:rPr>
        <w:t> </w:t>
      </w:r>
      <w:r>
        <w:rPr>
          <w:rFonts w:ascii="Garamond" w:hAnsi="Garamond"/>
          <w:sz w:val="16"/>
        </w:rPr>
        <w:t>el</w:t>
      </w:r>
      <w:r>
        <w:rPr>
          <w:rFonts w:ascii="Garamond" w:hAnsi="Garamond"/>
          <w:spacing w:val="-3"/>
          <w:sz w:val="16"/>
        </w:rPr>
        <w:t> </w:t>
      </w:r>
      <w:r>
        <w:rPr>
          <w:rFonts w:ascii="Garamond" w:hAnsi="Garamond"/>
          <w:sz w:val="16"/>
        </w:rPr>
        <w:t>Desarrollo</w:t>
      </w:r>
      <w:r>
        <w:rPr>
          <w:rFonts w:ascii="Garamond" w:hAnsi="Garamond"/>
          <w:spacing w:val="-2"/>
          <w:sz w:val="16"/>
        </w:rPr>
        <w:t> Humano"</w:t>
      </w:r>
    </w:p>
    <w:p>
      <w:pPr>
        <w:pStyle w:val="BodyText"/>
        <w:ind w:left="0"/>
        <w:rPr>
          <w:rFonts w:ascii="Garamond"/>
          <w:sz w:val="16"/>
        </w:rPr>
      </w:pPr>
    </w:p>
    <w:p>
      <w:pPr>
        <w:pStyle w:val="BodyText"/>
        <w:spacing w:before="158"/>
        <w:ind w:left="0"/>
        <w:rPr>
          <w:rFonts w:ascii="Garamond"/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6447</w:t>
      </w:r>
    </w:p>
    <w:p>
      <w:pPr>
        <w:pStyle w:val="BodyText"/>
        <w:spacing w:before="44"/>
        <w:ind w:left="0"/>
        <w:rPr>
          <w:sz w:val="40"/>
        </w:rPr>
      </w:pPr>
    </w:p>
    <w:p>
      <w:pPr>
        <w:pStyle w:val="BodyText"/>
        <w:spacing w:before="1"/>
        <w:ind w:left="239" w:right="429"/>
        <w:jc w:val="both"/>
      </w:pPr>
      <w:r>
        <w:rPr/>
        <w:t>ARTÍCULO 1°: Declárase de utilidad pública, interés social y sujeto a expropiación</w:t>
      </w:r>
      <w:r>
        <w:rPr>
          <w:spacing w:val="40"/>
        </w:rPr>
        <w:t> </w:t>
      </w:r>
      <w:r>
        <w:rPr/>
        <w:t>una fracción del inmueble ubicado en la Ciudad de Presidencia Roque Sáenz Peña - Departamento</w:t>
      </w:r>
      <w:r>
        <w:rPr>
          <w:spacing w:val="-7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Fernández-,</w:t>
      </w:r>
      <w:r>
        <w:rPr>
          <w:spacing w:val="-6"/>
        </w:rPr>
        <w:t> </w:t>
      </w:r>
      <w:r>
        <w:rPr/>
        <w:t>donde</w:t>
      </w:r>
      <w:r>
        <w:rPr>
          <w:spacing w:val="-5"/>
        </w:rPr>
        <w:t> </w:t>
      </w:r>
      <w:r>
        <w:rPr/>
        <w:t>se</w:t>
      </w:r>
      <w:r>
        <w:rPr>
          <w:spacing w:val="-6"/>
        </w:rPr>
        <w:t> </w:t>
      </w:r>
      <w:r>
        <w:rPr/>
        <w:t>encuentra</w:t>
      </w:r>
      <w:r>
        <w:rPr>
          <w:spacing w:val="-6"/>
        </w:rPr>
        <w:t> </w:t>
      </w:r>
      <w:r>
        <w:rPr/>
        <w:t>enclavado</w:t>
      </w:r>
      <w:r>
        <w:rPr>
          <w:spacing w:val="-6"/>
        </w:rPr>
        <w:t> </w:t>
      </w:r>
      <w:r>
        <w:rPr/>
        <w:t>el</w:t>
      </w:r>
      <w:r>
        <w:rPr>
          <w:spacing w:val="-6"/>
        </w:rPr>
        <w:t> </w:t>
      </w:r>
      <w:r>
        <w:rPr/>
        <w:t>edificio</w:t>
      </w:r>
      <w:r>
        <w:rPr>
          <w:spacing w:val="-7"/>
        </w:rPr>
        <w:t> </w:t>
      </w:r>
      <w:r>
        <w:rPr/>
        <w:t>del</w:t>
      </w:r>
      <w:r>
        <w:rPr>
          <w:spacing w:val="-6"/>
        </w:rPr>
        <w:t> </w:t>
      </w:r>
      <w:r>
        <w:rPr>
          <w:spacing w:val="-5"/>
        </w:rPr>
        <w:t>Ex</w:t>
      </w:r>
    </w:p>
    <w:p>
      <w:pPr>
        <w:pStyle w:val="BodyText"/>
        <w:ind w:left="239"/>
        <w:jc w:val="both"/>
      </w:pPr>
      <w:r>
        <w:rPr/>
        <w:t>-</w:t>
      </w:r>
      <w:r>
        <w:rPr>
          <w:spacing w:val="-10"/>
        </w:rPr>
        <w:t> </w:t>
      </w:r>
      <w:r>
        <w:rPr/>
        <w:t>Diario</w:t>
      </w:r>
      <w:r>
        <w:rPr>
          <w:spacing w:val="-9"/>
        </w:rPr>
        <w:t> </w:t>
      </w:r>
      <w:r>
        <w:rPr/>
        <w:t>"Tribuna</w:t>
      </w:r>
      <w:r>
        <w:rPr>
          <w:spacing w:val="-7"/>
        </w:rPr>
        <w:t> </w:t>
      </w:r>
      <w:r>
        <w:rPr/>
        <w:t>Chaqueña",</w:t>
      </w:r>
      <w:r>
        <w:rPr>
          <w:spacing w:val="-9"/>
        </w:rPr>
        <w:t> </w:t>
      </w:r>
      <w:r>
        <w:rPr/>
        <w:t>identificado</w:t>
      </w:r>
      <w:r>
        <w:rPr>
          <w:spacing w:val="-10"/>
        </w:rPr>
        <w:t> </w:t>
      </w:r>
      <w:r>
        <w:rPr>
          <w:spacing w:val="-4"/>
        </w:rPr>
        <w:t>como:</w:t>
      </w:r>
    </w:p>
    <w:p>
      <w:pPr>
        <w:pStyle w:val="BodyText"/>
        <w:spacing w:before="181"/>
        <w:ind w:left="2097"/>
      </w:pPr>
      <w:r>
        <w:rPr/>
        <w:t>NOMENCLATURA CATASTRAL: Circunscripción I - Sección B - Manzana</w:t>
      </w:r>
      <w:r>
        <w:rPr>
          <w:spacing w:val="9"/>
        </w:rPr>
        <w:t> </w:t>
      </w:r>
      <w:r>
        <w:rPr/>
        <w:t>100</w:t>
      </w:r>
      <w:r>
        <w:rPr>
          <w:spacing w:val="9"/>
        </w:rPr>
        <w:t> </w:t>
      </w:r>
      <w:r>
        <w:rPr/>
        <w:t>–</w:t>
      </w:r>
      <w:r>
        <w:rPr>
          <w:spacing w:val="9"/>
        </w:rPr>
        <w:t> </w:t>
      </w:r>
      <w:r>
        <w:rPr/>
        <w:t>Parcelas</w:t>
      </w:r>
      <w:r>
        <w:rPr>
          <w:spacing w:val="9"/>
        </w:rPr>
        <w:t> </w:t>
      </w:r>
      <w:r>
        <w:rPr/>
        <w:t>42</w:t>
      </w:r>
      <w:r>
        <w:rPr>
          <w:spacing w:val="11"/>
        </w:rPr>
        <w:t> </w:t>
      </w:r>
      <w:r>
        <w:rPr/>
        <w:t>y</w:t>
      </w:r>
      <w:r>
        <w:rPr>
          <w:spacing w:val="5"/>
        </w:rPr>
        <w:t> </w:t>
      </w:r>
      <w:r>
        <w:rPr/>
        <w:t>43,</w:t>
      </w:r>
      <w:r>
        <w:rPr>
          <w:spacing w:val="9"/>
        </w:rPr>
        <w:t> </w:t>
      </w:r>
      <w:r>
        <w:rPr/>
        <w:t>según</w:t>
      </w:r>
      <w:r>
        <w:rPr>
          <w:spacing w:val="9"/>
        </w:rPr>
        <w:t> </w:t>
      </w:r>
      <w:r>
        <w:rPr/>
        <w:t>Plano</w:t>
      </w:r>
      <w:r>
        <w:rPr>
          <w:spacing w:val="9"/>
        </w:rPr>
        <w:t> </w:t>
      </w:r>
      <w:r>
        <w:rPr/>
        <w:t>de</w:t>
      </w:r>
      <w:r>
        <w:rPr>
          <w:spacing w:val="10"/>
        </w:rPr>
        <w:t> </w:t>
      </w:r>
      <w:r>
        <w:rPr/>
        <w:t>Mensura</w:t>
      </w:r>
      <w:r>
        <w:rPr>
          <w:spacing w:val="9"/>
        </w:rPr>
        <w:t> </w:t>
      </w:r>
      <w:r>
        <w:rPr/>
        <w:t>N°</w:t>
      </w:r>
      <w:r>
        <w:rPr>
          <w:spacing w:val="8"/>
        </w:rPr>
        <w:t> </w:t>
      </w:r>
      <w:r>
        <w:rPr/>
        <w:t>03-</w:t>
      </w:r>
      <w:r>
        <w:rPr>
          <w:spacing w:val="-5"/>
        </w:rPr>
        <w:t>64-</w:t>
      </w:r>
    </w:p>
    <w:p>
      <w:pPr>
        <w:pStyle w:val="BodyText"/>
        <w:spacing w:line="298" w:lineRule="exact"/>
        <w:ind w:left="2097"/>
      </w:pPr>
      <w:r>
        <w:rPr>
          <w:spacing w:val="-5"/>
        </w:rPr>
        <w:t>98.</w:t>
      </w:r>
    </w:p>
    <w:p>
      <w:pPr>
        <w:pStyle w:val="BodyText"/>
        <w:tabs>
          <w:tab w:pos="4008" w:val="left" w:leader="none"/>
          <w:tab w:pos="4634" w:val="left" w:leader="none"/>
          <w:tab w:pos="5232" w:val="left" w:leader="none"/>
          <w:tab w:pos="6782" w:val="left" w:leader="none"/>
          <w:tab w:pos="7406" w:val="left" w:leader="none"/>
          <w:tab w:pos="8032" w:val="left" w:leader="none"/>
        </w:tabs>
        <w:spacing w:line="298" w:lineRule="exact"/>
        <w:ind w:left="2097"/>
      </w:pPr>
      <w:r>
        <w:rPr>
          <w:spacing w:val="-2"/>
        </w:rPr>
        <w:t>INSCRIPCIÓN</w:t>
      </w:r>
      <w:r>
        <w:rPr/>
        <w:tab/>
      </w:r>
      <w:r>
        <w:rPr>
          <w:spacing w:val="-5"/>
        </w:rPr>
        <w:t>EN</w:t>
      </w:r>
      <w:r>
        <w:rPr/>
        <w:tab/>
      </w:r>
      <w:r>
        <w:rPr>
          <w:spacing w:val="-5"/>
        </w:rPr>
        <w:t>EL</w:t>
      </w:r>
      <w:r>
        <w:rPr/>
        <w:tab/>
      </w:r>
      <w:r>
        <w:rPr>
          <w:spacing w:val="-2"/>
        </w:rPr>
        <w:t>REGISTRO</w:t>
      </w:r>
      <w:r>
        <w:rPr/>
        <w:tab/>
      </w:r>
      <w:r>
        <w:rPr>
          <w:spacing w:val="-5"/>
        </w:rPr>
        <w:t>DE</w:t>
      </w:r>
      <w:r>
        <w:rPr/>
        <w:tab/>
      </w:r>
      <w:r>
        <w:rPr>
          <w:spacing w:val="-5"/>
        </w:rPr>
        <w:t>LA</w:t>
      </w:r>
      <w:r>
        <w:rPr/>
        <w:tab/>
      </w:r>
      <w:r>
        <w:rPr>
          <w:spacing w:val="-2"/>
        </w:rPr>
        <w:t>PROPIEDAD</w:t>
      </w:r>
    </w:p>
    <w:p>
      <w:pPr>
        <w:pStyle w:val="BodyText"/>
        <w:tabs>
          <w:tab w:pos="6136" w:val="left" w:leader="none"/>
          <w:tab w:pos="6822" w:val="left" w:leader="none"/>
          <w:tab w:pos="7933" w:val="left" w:leader="none"/>
        </w:tabs>
        <w:spacing w:before="1"/>
        <w:ind w:left="2097" w:right="366"/>
      </w:pPr>
      <w:r>
        <w:rPr/>
        <w:t>INMUEBLE: Folio Real Matrícula</w:t>
        <w:tab/>
      </w:r>
      <w:r>
        <w:rPr>
          <w:spacing w:val="-6"/>
        </w:rPr>
        <w:t>N°</w:t>
      </w:r>
      <w:r>
        <w:rPr/>
        <w:tab/>
      </w:r>
      <w:r>
        <w:rPr>
          <w:spacing w:val="-2"/>
        </w:rPr>
        <w:t>17.432</w:t>
      </w:r>
      <w:r>
        <w:rPr/>
        <w:tab/>
      </w:r>
      <w:r>
        <w:rPr>
          <w:spacing w:val="-2"/>
        </w:rPr>
        <w:t>-Departamento </w:t>
      </w:r>
      <w:r>
        <w:rPr/>
        <w:t>Comandante Fernández.</w:t>
      </w:r>
    </w:p>
    <w:p>
      <w:pPr>
        <w:pStyle w:val="BodyText"/>
        <w:spacing w:line="261" w:lineRule="exact"/>
        <w:ind w:left="2097"/>
      </w:pPr>
      <w:r>
        <w:rPr/>
        <w:t>PROPIETARIO:</w:t>
      </w:r>
      <w:r>
        <w:rPr>
          <w:spacing w:val="-10"/>
        </w:rPr>
        <w:t> </w:t>
      </w:r>
      <w:r>
        <w:rPr/>
        <w:t>Manuel</w:t>
      </w:r>
      <w:r>
        <w:rPr>
          <w:spacing w:val="-12"/>
        </w:rPr>
        <w:t> </w:t>
      </w:r>
      <w:r>
        <w:rPr/>
        <w:t>Norberto</w:t>
      </w:r>
      <w:r>
        <w:rPr>
          <w:spacing w:val="-9"/>
        </w:rPr>
        <w:t> </w:t>
      </w:r>
      <w:r>
        <w:rPr>
          <w:spacing w:val="-2"/>
        </w:rPr>
        <w:t>Valdez.</w:t>
      </w:r>
    </w:p>
    <w:p>
      <w:pPr>
        <w:pStyle w:val="BodyText"/>
        <w:spacing w:line="294" w:lineRule="exact"/>
        <w:ind w:left="2097"/>
      </w:pPr>
      <w:r>
        <w:rPr/>
        <w:t>SUPERFICIE</w:t>
      </w:r>
      <w:r>
        <w:rPr>
          <w:spacing w:val="-6"/>
        </w:rPr>
        <w:t> </w:t>
      </w:r>
      <w:r>
        <w:rPr/>
        <w:t>PARCELA</w:t>
      </w:r>
      <w:r>
        <w:rPr>
          <w:spacing w:val="-5"/>
        </w:rPr>
        <w:t> </w:t>
      </w:r>
      <w:r>
        <w:rPr/>
        <w:t>42:</w:t>
      </w:r>
      <w:r>
        <w:rPr>
          <w:spacing w:val="-5"/>
        </w:rPr>
        <w:t> </w:t>
      </w:r>
      <w:r>
        <w:rPr/>
        <w:t>1</w:t>
      </w:r>
      <w:r>
        <w:rPr>
          <w:spacing w:val="-6"/>
        </w:rPr>
        <w:t> </w:t>
      </w:r>
      <w:r>
        <w:rPr/>
        <w:t>as.,</w:t>
      </w:r>
      <w:r>
        <w:rPr>
          <w:spacing w:val="-5"/>
        </w:rPr>
        <w:t> </w:t>
      </w:r>
      <w:r>
        <w:rPr/>
        <w:t>94</w:t>
      </w:r>
      <w:r>
        <w:rPr>
          <w:spacing w:val="-5"/>
        </w:rPr>
        <w:t> </w:t>
      </w:r>
      <w:r>
        <w:rPr/>
        <w:t>cas,</w:t>
      </w:r>
      <w:r>
        <w:rPr>
          <w:spacing w:val="-5"/>
        </w:rPr>
        <w:t> </w:t>
      </w:r>
      <w:r>
        <w:rPr/>
        <w:t>1</w:t>
      </w:r>
      <w:r>
        <w:rPr>
          <w:spacing w:val="-3"/>
        </w:rPr>
        <w:t> </w:t>
      </w:r>
      <w:r>
        <w:rPr>
          <w:spacing w:val="-4"/>
        </w:rPr>
        <w:t>dm2.</w:t>
      </w:r>
    </w:p>
    <w:p>
      <w:pPr>
        <w:pStyle w:val="BodyText"/>
        <w:tabs>
          <w:tab w:pos="3760" w:val="left" w:leader="none"/>
          <w:tab w:pos="4152" w:val="left" w:leader="none"/>
          <w:tab w:pos="5801" w:val="left" w:leader="none"/>
          <w:tab w:pos="7769" w:val="left" w:leader="none"/>
          <w:tab w:pos="8160" w:val="left" w:leader="none"/>
          <w:tab w:pos="9305" w:val="left" w:leader="none"/>
        </w:tabs>
        <w:ind w:left="2097" w:right="365"/>
      </w:pPr>
      <w:r>
        <w:rPr/>
        <w:t>SUPERFICIE PARCELA 43: 3 as., 38 cas, 66 dm</w:t>
      </w:r>
      <w:r>
        <w:rPr>
          <w:vertAlign w:val="superscript"/>
        </w:rPr>
        <w:t>2</w:t>
      </w:r>
      <w:r>
        <w:rPr>
          <w:vertAlign w:val="baseline"/>
        </w:rPr>
        <w:t>, 50 cm2. </w:t>
      </w:r>
      <w:r>
        <w:rPr>
          <w:spacing w:val="-2"/>
          <w:vertAlign w:val="baseline"/>
        </w:rPr>
        <w:t>SUPERFICIE</w:t>
      </w:r>
      <w:r>
        <w:rPr>
          <w:vertAlign w:val="baseline"/>
        </w:rPr>
        <w:tab/>
      </w:r>
      <w:r>
        <w:rPr>
          <w:spacing w:val="-10"/>
          <w:vertAlign w:val="baseline"/>
        </w:rPr>
        <w:t>A</w:t>
      </w:r>
      <w:r>
        <w:rPr>
          <w:vertAlign w:val="baseline"/>
        </w:rPr>
        <w:tab/>
      </w:r>
      <w:r>
        <w:rPr>
          <w:spacing w:val="-2"/>
          <w:vertAlign w:val="baseline"/>
        </w:rPr>
        <w:t>EXPROPIAR</w:t>
      </w:r>
      <w:r>
        <w:rPr>
          <w:vertAlign w:val="baseline"/>
        </w:rPr>
        <w:tab/>
      </w:r>
      <w:r>
        <w:rPr>
          <w:spacing w:val="-2"/>
          <w:vertAlign w:val="baseline"/>
        </w:rPr>
        <w:t>APRÓXIMADA</w:t>
      </w:r>
      <w:r>
        <w:rPr>
          <w:vertAlign w:val="baseline"/>
        </w:rPr>
        <w:tab/>
      </w:r>
      <w:r>
        <w:rPr>
          <w:spacing w:val="-10"/>
          <w:vertAlign w:val="baseline"/>
        </w:rPr>
        <w:t>Y</w:t>
      </w:r>
      <w:r>
        <w:rPr>
          <w:vertAlign w:val="baseline"/>
        </w:rPr>
        <w:tab/>
      </w:r>
      <w:r>
        <w:rPr>
          <w:spacing w:val="-2"/>
          <w:vertAlign w:val="baseline"/>
        </w:rPr>
        <w:t>SUJETA</w:t>
      </w:r>
      <w:r>
        <w:rPr>
          <w:vertAlign w:val="baseline"/>
        </w:rPr>
        <w:tab/>
      </w:r>
      <w:r>
        <w:rPr>
          <w:spacing w:val="-10"/>
          <w:vertAlign w:val="baseline"/>
        </w:rPr>
        <w:t>A </w:t>
      </w:r>
      <w:r>
        <w:rPr>
          <w:vertAlign w:val="baseline"/>
        </w:rPr>
        <w:t>MENSURA: 532,67 m2</w:t>
      </w:r>
    </w:p>
    <w:p>
      <w:pPr>
        <w:pStyle w:val="BodyText"/>
        <w:spacing w:before="252"/>
        <w:ind w:right="361"/>
        <w:jc w:val="both"/>
      </w:pPr>
      <w:r>
        <w:rPr/>
        <w:t>ARTÍCULO 2°: Declárase de utilidad pública, interés social y sujeto a expropiación las máquinas de impresión, elementos de trabajo y documentales de ejemplares y</w:t>
      </w:r>
      <w:r>
        <w:rPr>
          <w:spacing w:val="-2"/>
        </w:rPr>
        <w:t> </w:t>
      </w:r>
      <w:r>
        <w:rPr/>
        <w:t>archivo del Ex-Diario "Tribuna Chaqueña", que pertenecieron al señor Manuel Norberto Valdez y</w:t>
      </w:r>
      <w:r>
        <w:rPr>
          <w:spacing w:val="40"/>
        </w:rPr>
        <w:t> </w:t>
      </w:r>
      <w:r>
        <w:rPr/>
        <w:t>que serán inventariados por el Instituto de Cultura del Chaco, dentro de los noventa (90) días de promulgación de la presente ley.</w:t>
      </w:r>
    </w:p>
    <w:p>
      <w:pPr>
        <w:pStyle w:val="BodyText"/>
        <w:spacing w:before="217"/>
      </w:pPr>
      <w:r>
        <w:rPr/>
        <w:t>ARTÍCULO</w:t>
      </w:r>
      <w:r>
        <w:rPr>
          <w:spacing w:val="-7"/>
        </w:rPr>
        <w:t> </w:t>
      </w:r>
      <w:r>
        <w:rPr/>
        <w:t>3º:</w:t>
      </w:r>
      <w:r>
        <w:rPr>
          <w:spacing w:val="-22"/>
        </w:rPr>
        <w:t> </w:t>
      </w:r>
      <w:r>
        <w:rPr/>
        <w:t>Los</w:t>
      </w:r>
      <w:r>
        <w:rPr>
          <w:spacing w:val="-5"/>
        </w:rPr>
        <w:t> </w:t>
      </w:r>
      <w:r>
        <w:rPr/>
        <w:t>bienes</w:t>
      </w:r>
      <w:r>
        <w:rPr>
          <w:spacing w:val="-5"/>
        </w:rPr>
        <w:t> </w:t>
      </w:r>
      <w:r>
        <w:rPr/>
        <w:t>expropiados</w:t>
      </w:r>
      <w:r>
        <w:rPr>
          <w:spacing w:val="-5"/>
        </w:rPr>
        <w:t> </w:t>
      </w:r>
      <w:r>
        <w:rPr/>
        <w:t>en</w:t>
      </w:r>
      <w:r>
        <w:rPr>
          <w:spacing w:val="-2"/>
        </w:rPr>
        <w:t> </w:t>
      </w:r>
      <w:r>
        <w:rPr/>
        <w:t>los</w:t>
      </w:r>
      <w:r>
        <w:rPr>
          <w:spacing w:val="-5"/>
        </w:rPr>
        <w:t> </w:t>
      </w:r>
      <w:r>
        <w:rPr/>
        <w:t>artículos</w:t>
      </w:r>
      <w:r>
        <w:rPr>
          <w:spacing w:val="-2"/>
        </w:rPr>
        <w:t> </w:t>
      </w:r>
      <w:r>
        <w:rPr/>
        <w:t>precedentes</w:t>
      </w:r>
      <w:r>
        <w:rPr>
          <w:spacing w:val="-2"/>
        </w:rPr>
        <w:t> </w:t>
      </w:r>
      <w:r>
        <w:rPr/>
        <w:t>serán</w:t>
      </w:r>
      <w:r>
        <w:rPr>
          <w:spacing w:val="-5"/>
        </w:rPr>
        <w:t> </w:t>
      </w:r>
      <w:r>
        <w:rPr/>
        <w:t>destinados</w:t>
      </w:r>
      <w:r>
        <w:rPr>
          <w:spacing w:val="-5"/>
        </w:rPr>
        <w:t> </w:t>
      </w:r>
      <w:r>
        <w:rPr/>
        <w:t>al funcionamiento de un Museo de Medios de Comunicación.</w:t>
      </w:r>
    </w:p>
    <w:p>
      <w:pPr>
        <w:pStyle w:val="BodyText"/>
        <w:spacing w:before="251"/>
      </w:pPr>
      <w:r>
        <w:rPr/>
        <w:t>ARTÍCULO</w:t>
      </w:r>
      <w:r>
        <w:rPr>
          <w:spacing w:val="40"/>
        </w:rPr>
        <w:t> </w:t>
      </w:r>
      <w:r>
        <w:rPr/>
        <w:t>4°:</w:t>
      </w:r>
      <w:r>
        <w:rPr>
          <w:spacing w:val="40"/>
        </w:rPr>
        <w:t> </w:t>
      </w:r>
      <w:r>
        <w:rPr/>
        <w:t>Facúltase</w:t>
      </w:r>
      <w:r>
        <w:rPr>
          <w:spacing w:val="40"/>
        </w:rPr>
        <w:t> </w:t>
      </w:r>
      <w:r>
        <w:rPr/>
        <w:t>al</w:t>
      </w:r>
      <w:r>
        <w:rPr>
          <w:spacing w:val="40"/>
        </w:rPr>
        <w:t> </w:t>
      </w:r>
      <w:r>
        <w:rPr/>
        <w:t>Poder</w:t>
      </w:r>
      <w:r>
        <w:rPr>
          <w:spacing w:val="40"/>
        </w:rPr>
        <w:t> </w:t>
      </w:r>
      <w:r>
        <w:rPr/>
        <w:t>Ejecutivo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tramitar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presente</w:t>
      </w:r>
      <w:r>
        <w:rPr>
          <w:spacing w:val="40"/>
        </w:rPr>
        <w:t> </w:t>
      </w:r>
      <w:r>
        <w:rPr/>
        <w:t>expropiación</w:t>
      </w:r>
      <w:r>
        <w:rPr>
          <w:spacing w:val="40"/>
        </w:rPr>
        <w:t> </w:t>
      </w:r>
      <w:r>
        <w:rPr/>
        <w:t>y</w:t>
      </w:r>
      <w:r>
        <w:rPr>
          <w:spacing w:val="40"/>
        </w:rPr>
        <w:t> </w:t>
      </w:r>
      <w:r>
        <w:rPr/>
        <w:t>a transferir el dominio de los bienes expropiados a favor del Instituto de Cultura del Chaco.</w:t>
      </w:r>
    </w:p>
    <w:p>
      <w:pPr>
        <w:pStyle w:val="BodyText"/>
        <w:spacing w:before="180"/>
        <w:ind w:right="107"/>
        <w:jc w:val="both"/>
      </w:pPr>
      <w:r>
        <w:rPr/>
        <w:t>ARTÍCULO 5°: El Instituto de Cultura del Chaco realizará convenios con el Municipio de Presidencia Roque Sáenz Peña para lograr un marco de colaboración recíproca a fin de reserva los bienes expropiados en los artículos 1° y 2° de la presente ley.</w:t>
      </w:r>
    </w:p>
    <w:p>
      <w:pPr>
        <w:pStyle w:val="BodyText"/>
        <w:spacing w:before="98"/>
        <w:ind w:left="0"/>
      </w:pPr>
    </w:p>
    <w:p>
      <w:pPr>
        <w:pStyle w:val="BodyText"/>
        <w:ind w:right="364"/>
        <w:jc w:val="both"/>
      </w:pPr>
      <w:r>
        <w:rPr/>
        <w:t>ARTICULO 6°: La erogación que demande el cumplimiento de la presente ley, se imputará a la partida específica del Presupuesto General de la Provincia para el Ejercicio </w:t>
      </w:r>
      <w:r>
        <w:rPr>
          <w:spacing w:val="-2"/>
        </w:rPr>
        <w:t>2010.</w:t>
      </w:r>
    </w:p>
    <w:p>
      <w:pPr>
        <w:pStyle w:val="BodyText"/>
        <w:spacing w:before="97"/>
        <w:ind w:left="0"/>
      </w:pPr>
    </w:p>
    <w:p>
      <w:pPr>
        <w:pStyle w:val="BodyText"/>
        <w:jc w:val="both"/>
      </w:pPr>
      <w:r>
        <w:rPr/>
        <w:t>ARTÍCULO</w:t>
      </w:r>
      <w:r>
        <w:rPr>
          <w:spacing w:val="-8"/>
        </w:rPr>
        <w:t> </w:t>
      </w:r>
      <w:r>
        <w:rPr/>
        <w:t>7°: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spacing w:before="247"/>
        <w:ind w:left="0"/>
      </w:pPr>
    </w:p>
    <w:p>
      <w:pPr>
        <w:pStyle w:val="BodyText"/>
        <w:ind w:left="4932" w:right="109"/>
        <w:jc w:val="both"/>
      </w:pPr>
      <w:r>
        <w:rPr/>
        <w:t>Dada en la Sala de Sesiones de la Cámara de Diputados de la Provincia del Chaco, a los dieciocho días del mes de noviembre del año dos mil nueve.</w:t>
      </w:r>
    </w:p>
    <w:p>
      <w:pPr>
        <w:spacing w:after="0"/>
        <w:jc w:val="both"/>
        <w:sectPr>
          <w:type w:val="continuous"/>
          <w:pgSz w:w="11900" w:h="16840"/>
          <w:pgMar w:top="840" w:bottom="280" w:left="1020" w:right="1020"/>
        </w:sectPr>
      </w:pPr>
    </w:p>
    <w:p>
      <w:pPr>
        <w:pStyle w:val="BodyText"/>
        <w:tabs>
          <w:tab w:pos="6657" w:val="left" w:leader="none"/>
          <w:tab w:pos="6981" w:val="left" w:leader="none"/>
        </w:tabs>
        <w:spacing w:before="62"/>
        <w:ind w:left="832" w:right="125" w:hanging="267"/>
      </w:pPr>
      <w:r>
        <w:rPr/>
        <w:t>Pablo L.D. BOSCH</w:t>
        <w:tab/>
        <w:t>Víctor</w:t>
      </w:r>
      <w:r>
        <w:rPr>
          <w:spacing w:val="-17"/>
        </w:rPr>
        <w:t> </w:t>
      </w:r>
      <w:r>
        <w:rPr/>
        <w:t>Hugo</w:t>
      </w:r>
      <w:r>
        <w:rPr>
          <w:spacing w:val="-16"/>
        </w:rPr>
        <w:t> </w:t>
      </w:r>
      <w:r>
        <w:rPr/>
        <w:t>MALDONADO </w:t>
      </w:r>
      <w:r>
        <w:rPr>
          <w:spacing w:val="-2"/>
        </w:rPr>
        <w:t>SECRETARIO</w:t>
      </w:r>
      <w:r>
        <w:rPr/>
        <w:tab/>
        <w:tab/>
        <w:t>VICEPRESIDENTE 1º</w:t>
      </w:r>
    </w:p>
    <w:p>
      <w:pPr>
        <w:pStyle w:val="BodyText"/>
        <w:tabs>
          <w:tab w:pos="6650" w:val="left" w:leader="none"/>
        </w:tabs>
        <w:spacing w:line="299" w:lineRule="exact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3"/>
        </w:rPr>
        <w:t> </w:t>
      </w:r>
      <w:r>
        <w:rPr>
          <w:spacing w:val="-2"/>
        </w:rPr>
        <w:t>DIPUTADOS</w:t>
      </w:r>
    </w:p>
    <w:sectPr>
      <w:pgSz w:w="11900" w:h="16840"/>
      <w:pgMar w:top="10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aramond">
    <w:altName w:val="Garamon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7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\376\377\000A\000d\000m\000i\000n\000i\000s\000t\000r\000a\000d\000o\000r</dc:creator>
  <cp:keywords>()</cp:keywords>
  <dc:title>\376\377\000L\000e\000y\000 \0006\0004\0004\0007</dc:title>
  <dcterms:created xsi:type="dcterms:W3CDTF">2025-02-06T12:41:38Z</dcterms:created>
  <dcterms:modified xsi:type="dcterms:W3CDTF">2025-02-06T12:41:38Z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2010-02-04T00:00:00Z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